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C123" w14:textId="7F2BA0B5" w:rsidR="005207F6" w:rsidRDefault="00000000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Пресс-релиз Публичного обсуждения результатов правоприменительной практики МТУ Ространснадзора по ПФО за 12 месяцев 2025</w:t>
      </w:r>
    </w:p>
    <w:p w14:paraId="2C3B4A03" w14:textId="0DE28C47" w:rsidR="005207F6" w:rsidRDefault="002958BE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1F73797" wp14:editId="0294C81D">
            <wp:simplePos x="0" y="0"/>
            <wp:positionH relativeFrom="column">
              <wp:posOffset>2540</wp:posOffset>
            </wp:positionH>
            <wp:positionV relativeFrom="paragraph">
              <wp:posOffset>212725</wp:posOffset>
            </wp:positionV>
            <wp:extent cx="3657600" cy="2743200"/>
            <wp:effectExtent l="0" t="0" r="0" b="0"/>
            <wp:wrapSquare wrapText="bothSides"/>
            <wp:docPr id="115560670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316F3" w14:textId="7AE08000" w:rsidR="005207F6" w:rsidRDefault="00000000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февраля 2026 в городе Уфа в соответствии с планом-графиком проведения публичных обсуждений правоприменительной практики территориальных органов государственного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железнодорож</w:t>
      </w:r>
      <w:r w:rsidR="00B625B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надзора Федеральной службы по надзору в сфере транспорта на 2026 год, утвержденного заместителем руководителя Федеральной службы по надзору в сфере транспорта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Проходцевым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начальником отдела контроля и надзора за безопасностью движения поездов и эксплуатацией железнодорожного транспорта Шаймардановой Светланой Всеволодовной, заместителем начальника отдела контроля и надзора за безопасностью движения поездов и эксплуатацией железнодорожного транспорта Овчинниковой Натальей Александровной проведены «Публичные обсуждения результатов правоприменительной практики МТУ Ространснадзора по ПФО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Госжелдорнадзор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итогам работы за 12 месяцев 2025 года. Публичное обсуждение проводилось с участием представителя Центрального аппарата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госжелдорнадзора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применением средств видео-конференц-связи. </w:t>
      </w:r>
    </w:p>
    <w:p w14:paraId="1AE45B85" w14:textId="119B7138" w:rsidR="005207F6" w:rsidRDefault="00B625B9">
      <w:pPr>
        <w:pStyle w:val="afc"/>
        <w:spacing w:after="0" w:line="34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B414117" wp14:editId="30815507">
            <wp:simplePos x="0" y="0"/>
            <wp:positionH relativeFrom="column">
              <wp:posOffset>2540</wp:posOffset>
            </wp:positionH>
            <wp:positionV relativeFrom="paragraph">
              <wp:posOffset>92075</wp:posOffset>
            </wp:positionV>
            <wp:extent cx="2117090" cy="1588135"/>
            <wp:effectExtent l="0" t="0" r="0" b="0"/>
            <wp:wrapSquare wrapText="bothSides"/>
            <wp:docPr id="74644569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заместитель начальника Управления МТУ Ространснадзора по ПФО Косолапов Александр Олегович, Уфимский транспортный прокурор </w:t>
      </w:r>
      <w:proofErr w:type="spellStart"/>
      <w:r w:rsidR="00000000">
        <w:rPr>
          <w:rFonts w:ascii="Times New Roman" w:hAnsi="Times New Roman" w:cs="Times New Roman"/>
          <w:sz w:val="28"/>
          <w:szCs w:val="28"/>
        </w:rPr>
        <w:t>Шушляев</w:t>
      </w:r>
      <w:proofErr w:type="spellEnd"/>
      <w:r w:rsidR="00000000">
        <w:rPr>
          <w:rFonts w:ascii="Times New Roman" w:hAnsi="Times New Roman" w:cs="Times New Roman"/>
          <w:sz w:val="28"/>
          <w:szCs w:val="28"/>
        </w:rPr>
        <w:t xml:space="preserve"> Павел Владимирович, заместитель главного ревизора по Башкирскому региону Куйбышевской железной дороги Жуков Александр Федорович, заместитель директора Приуральской аттестующей</w:t>
      </w:r>
      <w:r w:rsidR="00000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Зиновьева Ксения Андреевна. </w:t>
      </w:r>
      <w:r w:rsidR="00000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Присутствовали представители Регионального объединения работодателей «Союз промышленников и предпринимателей», </w:t>
      </w:r>
      <w:r w:rsidR="0000000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Счетной палаты, Всероссийского общества инвалидов, а </w:t>
      </w:r>
      <w:proofErr w:type="gramStart"/>
      <w:r w:rsidR="0000000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так же</w:t>
      </w:r>
      <w:proofErr w:type="gramEnd"/>
      <w:r w:rsidR="0000000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00000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структурных подразделений ОАО «РЖД» и представители предприятий, имеющих на праве собственности или и</w:t>
      </w:r>
      <w:r w:rsidR="00000000">
        <w:rPr>
          <w:rFonts w:ascii="Times New Roman" w:hAnsi="Times New Roman" w:cs="Times New Roman"/>
          <w:sz w:val="28"/>
          <w:szCs w:val="28"/>
        </w:rPr>
        <w:t xml:space="preserve">ном законном основании железнодорожные пути необщего пользования. </w:t>
      </w:r>
    </w:p>
    <w:p w14:paraId="4597BEE1" w14:textId="77777777" w:rsidR="005207F6" w:rsidRDefault="00000000">
      <w:pPr>
        <w:pStyle w:val="afc"/>
        <w:spacing w:after="0" w:line="340" w:lineRule="exact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ходе мероприятия были подведены итоги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Госжелдорнадзора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br/>
        <w:t xml:space="preserve"> 12 месяцев 2025 года. </w:t>
      </w:r>
    </w:p>
    <w:p w14:paraId="6982951A" w14:textId="2BDF8720" w:rsidR="005207F6" w:rsidRDefault="00B625B9">
      <w:pPr>
        <w:pStyle w:val="afc"/>
        <w:spacing w:after="0" w:line="34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1C243C85" wp14:editId="73801639">
            <wp:simplePos x="0" y="0"/>
            <wp:positionH relativeFrom="column">
              <wp:posOffset>9525</wp:posOffset>
            </wp:positionH>
            <wp:positionV relativeFrom="paragraph">
              <wp:posOffset>116840</wp:posOffset>
            </wp:positionV>
            <wp:extent cx="2117090" cy="1588135"/>
            <wp:effectExtent l="0" t="0" r="0" b="0"/>
            <wp:wrapSquare wrapText="bothSides"/>
            <wp:docPr id="172111579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8B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1AAB653" wp14:editId="3F69FB8D">
            <wp:simplePos x="0" y="0"/>
            <wp:positionH relativeFrom="column">
              <wp:posOffset>4393565</wp:posOffset>
            </wp:positionH>
            <wp:positionV relativeFrom="paragraph">
              <wp:posOffset>1793240</wp:posOffset>
            </wp:positionV>
            <wp:extent cx="2117725" cy="1588135"/>
            <wp:effectExtent l="0" t="0" r="0" b="0"/>
            <wp:wrapSquare wrapText="bothSides"/>
            <wp:docPr id="125772484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28"/>
          <w:szCs w:val="28"/>
        </w:rPr>
        <w:t xml:space="preserve">С докладами выступили: начальник отдела контроля и надзора за безопасностью движения поездов и эксплуатацией железнодорожного транспорта Шаймарданова Светлана Всеволодовна, заместитель начальника Управления МТУ Ространснадзора по ПФО Косолапов Александр Олегович, заместитель начальника отдела контроля и надзора за безопасностью движения поездов и эксплуатацией железнодорожного транспорта Овчинникова Наталья Александровна, Уфимский транспортный прокурор </w:t>
      </w:r>
      <w:proofErr w:type="spellStart"/>
      <w:r w:rsidR="00000000">
        <w:rPr>
          <w:rFonts w:ascii="Times New Roman" w:hAnsi="Times New Roman" w:cs="Times New Roman"/>
          <w:sz w:val="28"/>
          <w:szCs w:val="28"/>
        </w:rPr>
        <w:t>Шушляев</w:t>
      </w:r>
      <w:proofErr w:type="spellEnd"/>
      <w:r w:rsidR="00000000">
        <w:rPr>
          <w:rFonts w:ascii="Times New Roman" w:hAnsi="Times New Roman" w:cs="Times New Roman"/>
          <w:sz w:val="28"/>
          <w:szCs w:val="28"/>
        </w:rPr>
        <w:t xml:space="preserve"> Павел Владимирович, главный государственный инспектор отдела контроля и надзора за безопасностью движения поездов и эксплуатацией железнодорожного транспорта Камалетдинов Ринат Нилович, заместитель директора Приуральской аттестующей</w:t>
      </w:r>
      <w:r w:rsidR="00000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Зиновьева Ксения Андреевна</w:t>
      </w:r>
      <w:r w:rsidR="00000000">
        <w:rPr>
          <w:rFonts w:ascii="Times New Roman" w:hAnsi="Times New Roman" w:cs="Times New Roman"/>
          <w:sz w:val="28"/>
          <w:szCs w:val="28"/>
        </w:rPr>
        <w:t>.</w:t>
      </w:r>
    </w:p>
    <w:p w14:paraId="519EFEB4" w14:textId="49577452" w:rsidR="005207F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проведённого мероприятия даны разъяснения на поступившие вопросы от работников ОАО «РЖД»,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вагоно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-ремонтных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предприятий, владельцев путей необщего пользования. Проведена разъяснительная работа по осуществлению процедуры самообследования и подачи деклараций о соблюдении обязательных требований, 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по порядку получения свидетельств на право управлением локомотивом, ССПС, МВПС, проведению КНМ с применением МП «Инспектор».</w:t>
      </w:r>
    </w:p>
    <w:p w14:paraId="5B9E2DAF" w14:textId="6DEADACE" w:rsidR="005207F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40" w:lineRule="exact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Рассмотрен вопрос взаимодействия владельцев путей общего пользования с Министерством транспорта Республики Башкортостан в части профилактики непроизводственного травматизма.</w:t>
      </w:r>
    </w:p>
    <w:p w14:paraId="66F35099" w14:textId="103CA81A" w:rsidR="005207F6" w:rsidRDefault="002958BE" w:rsidP="002958BE">
      <w:pPr>
        <w:pStyle w:val="afc"/>
        <w:spacing w:after="0" w:line="34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D414872" wp14:editId="4E95475E">
            <wp:simplePos x="0" y="0"/>
            <wp:positionH relativeFrom="column">
              <wp:posOffset>4441190</wp:posOffset>
            </wp:positionH>
            <wp:positionV relativeFrom="paragraph">
              <wp:posOffset>1034415</wp:posOffset>
            </wp:positionV>
            <wp:extent cx="2063750" cy="1547495"/>
            <wp:effectExtent l="0" t="0" r="0" b="0"/>
            <wp:wrapSquare wrapText="bothSides"/>
            <wp:docPr id="52276890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10C275" wp14:editId="485DB929">
            <wp:simplePos x="0" y="0"/>
            <wp:positionH relativeFrom="column">
              <wp:posOffset>2179955</wp:posOffset>
            </wp:positionH>
            <wp:positionV relativeFrom="paragraph">
              <wp:posOffset>1034415</wp:posOffset>
            </wp:positionV>
            <wp:extent cx="2094230" cy="1571625"/>
            <wp:effectExtent l="0" t="0" r="1270" b="9525"/>
            <wp:wrapSquare wrapText="bothSides"/>
            <wp:docPr id="20157092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F31558" wp14:editId="0209ADD0">
            <wp:simplePos x="0" y="0"/>
            <wp:positionH relativeFrom="column">
              <wp:posOffset>12065</wp:posOffset>
            </wp:positionH>
            <wp:positionV relativeFrom="paragraph">
              <wp:posOffset>1043940</wp:posOffset>
            </wp:positionV>
            <wp:extent cx="2082800" cy="1562100"/>
            <wp:effectExtent l="0" t="0" r="0" b="0"/>
            <wp:wrapSquare wrapText="bothSides"/>
            <wp:docPr id="71871999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28"/>
          <w:szCs w:val="28"/>
        </w:rPr>
        <w:t xml:space="preserve"> В ходе проведения ежеквартального публичного обсуждения правоприменительной практики проведено анкетирование хозяйствующих субъектов, осуществляющих предпринимательскую деятельность в сфере железнодорожного транспорта.</w:t>
      </w:r>
    </w:p>
    <w:sectPr w:rsidR="005207F6">
      <w:pgSz w:w="11906" w:h="16838"/>
      <w:pgMar w:top="851" w:right="850" w:bottom="82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E559" w14:textId="77777777" w:rsidR="007659C8" w:rsidRDefault="007659C8">
      <w:pPr>
        <w:spacing w:after="0" w:line="240" w:lineRule="auto"/>
      </w:pPr>
      <w:r>
        <w:separator/>
      </w:r>
    </w:p>
  </w:endnote>
  <w:endnote w:type="continuationSeparator" w:id="0">
    <w:p w14:paraId="44A290D1" w14:textId="77777777" w:rsidR="007659C8" w:rsidRDefault="0076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D6FE" w14:textId="77777777" w:rsidR="007659C8" w:rsidRDefault="007659C8">
      <w:pPr>
        <w:spacing w:after="0" w:line="240" w:lineRule="auto"/>
      </w:pPr>
      <w:r>
        <w:separator/>
      </w:r>
    </w:p>
  </w:footnote>
  <w:footnote w:type="continuationSeparator" w:id="0">
    <w:p w14:paraId="351FDF37" w14:textId="77777777" w:rsidR="007659C8" w:rsidRDefault="00765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22D2"/>
    <w:multiLevelType w:val="hybridMultilevel"/>
    <w:tmpl w:val="27F084E0"/>
    <w:lvl w:ilvl="0" w:tplc="116229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E885B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C3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A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4C4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E3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CE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06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89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85439"/>
    <w:multiLevelType w:val="hybridMultilevel"/>
    <w:tmpl w:val="CF06D6C0"/>
    <w:lvl w:ilvl="0" w:tplc="14684E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5A77C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94AA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80208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564D2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E4EF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CEE48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8200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AC6C2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3EE55CC"/>
    <w:multiLevelType w:val="hybridMultilevel"/>
    <w:tmpl w:val="67A6B6DE"/>
    <w:lvl w:ilvl="0" w:tplc="0AEE9A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56A43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3686F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778BF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4462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A5E21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F439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6AA2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86D6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939587D"/>
    <w:multiLevelType w:val="hybridMultilevel"/>
    <w:tmpl w:val="EAF08606"/>
    <w:lvl w:ilvl="0" w:tplc="16CE1D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A346F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64496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F8646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2328F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B9C47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52C67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4E97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9849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A101874"/>
    <w:multiLevelType w:val="hybridMultilevel"/>
    <w:tmpl w:val="B91879C2"/>
    <w:lvl w:ilvl="0" w:tplc="A1D619C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A70C1B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C08FD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81424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39EF9B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F62FD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3BE562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C5AC3D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0E232A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7117363"/>
    <w:multiLevelType w:val="hybridMultilevel"/>
    <w:tmpl w:val="E1589908"/>
    <w:lvl w:ilvl="0" w:tplc="675E12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79894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9CAFB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A693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5FA95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047F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4DA3E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EDA24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3D25C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2110462196">
    <w:abstractNumId w:val="0"/>
  </w:num>
  <w:num w:numId="2" w16cid:durableId="858352698">
    <w:abstractNumId w:val="4"/>
  </w:num>
  <w:num w:numId="3" w16cid:durableId="206725705">
    <w:abstractNumId w:val="1"/>
  </w:num>
  <w:num w:numId="4" w16cid:durableId="94057751">
    <w:abstractNumId w:val="2"/>
  </w:num>
  <w:num w:numId="5" w16cid:durableId="1731532613">
    <w:abstractNumId w:val="3"/>
  </w:num>
  <w:num w:numId="6" w16cid:durableId="212638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F6"/>
    <w:rsid w:val="00121D68"/>
    <w:rsid w:val="002958BE"/>
    <w:rsid w:val="005207F6"/>
    <w:rsid w:val="007659C8"/>
    <w:rsid w:val="00B625B9"/>
    <w:rsid w:val="00D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0778"/>
  <w15:docId w15:val="{F86EC9E1-825D-4914-8E49-D394262B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MAKSIMOVA</dc:creator>
  <cp:lastModifiedBy>Mtu_11 Mtu_1</cp:lastModifiedBy>
  <cp:revision>13</cp:revision>
  <dcterms:created xsi:type="dcterms:W3CDTF">2024-02-19T08:20:00Z</dcterms:created>
  <dcterms:modified xsi:type="dcterms:W3CDTF">2026-02-18T06:23:00Z</dcterms:modified>
</cp:coreProperties>
</file>